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3F0A15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FC678C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ΕΞΕΤΑΣΤΙΚΗ </w:t>
            </w:r>
            <w:r w:rsidR="00390E6E">
              <w:rPr>
                <w:rFonts w:ascii="Times New Roman" w:hAnsi="Times New Roman" w:cs="Times New Roman"/>
                <w:color w:val="auto"/>
                <w:sz w:val="36"/>
                <w:szCs w:val="24"/>
                <w:lang w:val="en-US"/>
              </w:rPr>
              <w:t>IANOYA</w:t>
            </w:r>
            <w:r w:rsidR="00390E6E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Ρ</w:t>
            </w:r>
            <w:r>
              <w:rPr>
                <w:rFonts w:ascii="Times New Roman" w:hAnsi="Times New Roman" w:cs="Times New Roman"/>
                <w:color w:val="auto"/>
                <w:sz w:val="36"/>
                <w:szCs w:val="24"/>
                <w:lang w:val="en-US"/>
              </w:rPr>
              <w:t>IOY</w:t>
            </w:r>
            <w:r w:rsidRPr="00FC678C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 xml:space="preserve"> </w:t>
            </w: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 201</w:t>
            </w:r>
            <w:r w:rsidRPr="00FC678C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8</w:t>
            </w:r>
          </w:p>
          <w:p w:rsidR="003F0A15" w:rsidRPr="003F0A15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ab/>
            </w:r>
          </w:p>
          <w:p w:rsidR="003F0A15" w:rsidRPr="003F0A15" w:rsidRDefault="003F0A15" w:rsidP="003F0A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  <w:tab/>
              <w:t>Οι εξετάσεις του Ε΄ έτους της Γ΄ Παιδιατρικής Κλινικής του ΑΠΘ θα γίνουν ως εξής:</w:t>
            </w:r>
          </w:p>
          <w:p w:rsidR="003F0A15" w:rsidRDefault="003F0A15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F0A15" w:rsidRPr="00390E6E" w:rsidRDefault="003F0A15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390E6E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ΤΡΙΤΗ</w:t>
            </w:r>
            <w:r w:rsidR="00390E6E"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 xml:space="preserve">       </w:t>
            </w:r>
            <w:r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29/01 </w:t>
            </w:r>
            <w:r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γραπτά ώρα</w:t>
            </w:r>
            <w:r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12:00-15:00</w:t>
            </w:r>
            <w:r w:rsidRPr="00390E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Οι γραπτές εξετάσεις θα γίνουν στα Αμφιθέατρα Α και Β στη Γραμματεία της Ιατρικής Σχολής του ΑΠΘ.</w:t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 xml:space="preserve">Η εγγραφή στις εξετάσεις θα γίνει από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08</w:t>
            </w: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Ιανουαρίου</w:t>
            </w: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και είναι απαραίτητη.</w:t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>Από</w:t>
            </w:r>
            <w:proofErr w:type="spellEnd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>την</w:t>
            </w:r>
            <w:proofErr w:type="spellEnd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7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AD" w:rsidRDefault="00412CAD" w:rsidP="00F34E6F">
      <w:pPr>
        <w:spacing w:after="0" w:line="240" w:lineRule="auto"/>
      </w:pPr>
      <w:r>
        <w:separator/>
      </w:r>
    </w:p>
  </w:endnote>
  <w:endnote w:type="continuationSeparator" w:id="0">
    <w:p w:rsidR="00412CAD" w:rsidRDefault="00412CAD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AD" w:rsidRDefault="00412CAD" w:rsidP="00F34E6F">
      <w:pPr>
        <w:spacing w:after="0" w:line="240" w:lineRule="auto"/>
      </w:pPr>
      <w:r>
        <w:separator/>
      </w:r>
    </w:p>
  </w:footnote>
  <w:footnote w:type="continuationSeparator" w:id="0">
    <w:p w:rsidR="00412CAD" w:rsidRDefault="00412CAD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61854"/>
    <w:rsid w:val="0006448A"/>
    <w:rsid w:val="00080A8A"/>
    <w:rsid w:val="00153F6A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412CAD"/>
    <w:rsid w:val="00450F51"/>
    <w:rsid w:val="00455C43"/>
    <w:rsid w:val="004B2EB1"/>
    <w:rsid w:val="004B4DB6"/>
    <w:rsid w:val="004F7369"/>
    <w:rsid w:val="005A6E0F"/>
    <w:rsid w:val="005A7D97"/>
    <w:rsid w:val="006050A7"/>
    <w:rsid w:val="006832BF"/>
    <w:rsid w:val="006B2914"/>
    <w:rsid w:val="006C03F8"/>
    <w:rsid w:val="006D181A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54837"/>
    <w:rsid w:val="00D548A1"/>
    <w:rsid w:val="00D760F7"/>
    <w:rsid w:val="00D92924"/>
    <w:rsid w:val="00DA717A"/>
    <w:rsid w:val="00E10F26"/>
    <w:rsid w:val="00E37EB4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41E8-1D53-41A6-84CC-1526329F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2018-11-19T06:27:00Z</cp:lastPrinted>
  <dcterms:created xsi:type="dcterms:W3CDTF">2018-12-21T07:24:00Z</dcterms:created>
  <dcterms:modified xsi:type="dcterms:W3CDTF">2018-12-21T10:49:00Z</dcterms:modified>
</cp:coreProperties>
</file>