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ΕΞΕΤΑΣΕΙΣ </w:t>
            </w:r>
            <w:proofErr w:type="spellStart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>Στ΄</w:t>
            </w:r>
            <w:proofErr w:type="spellEnd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ΕΤΟΥΣ </w:t>
            </w:r>
          </w:p>
          <w:p w:rsidR="00802492" w:rsidRPr="00AD3913" w:rsidRDefault="003A587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 xml:space="preserve">ΕΞΕΤΑΣΤΙΚΗ </w:t>
            </w:r>
            <w:r w:rsidR="00F267C8">
              <w:rPr>
                <w:rFonts w:ascii="Times New Roman" w:hAnsi="Times New Roman" w:cs="Times New Roman"/>
                <w:color w:val="auto"/>
                <w:sz w:val="36"/>
              </w:rPr>
              <w:t>ΝΟΕΜΒΡΙΟΥ</w:t>
            </w:r>
            <w:r w:rsidR="00802492"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36"/>
              </w:rPr>
              <w:t>9</w:t>
            </w:r>
          </w:p>
          <w:p w:rsidR="00F267C8" w:rsidRDefault="00802492" w:rsidP="00F267C8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F267C8" w:rsidRPr="00F267C8" w:rsidRDefault="00802492" w:rsidP="00F267C8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ab/>
            </w:r>
            <w:r w:rsidR="00F267C8" w:rsidRPr="00F267C8">
              <w:rPr>
                <w:rFonts w:ascii="Times New Roman" w:hAnsi="Times New Roman"/>
                <w:sz w:val="28"/>
                <w:szCs w:val="28"/>
                <w:lang w:val="el-GR"/>
              </w:rPr>
              <w:tab/>
            </w:r>
          </w:p>
          <w:p w:rsidR="00F267C8" w:rsidRPr="00F267C8" w:rsidRDefault="00F267C8" w:rsidP="00F267C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</w:pPr>
            <w:r w:rsidRPr="00F267C8"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  <w:tab/>
              <w:t xml:space="preserve">Οι εξετάσεις των </w:t>
            </w:r>
            <w:proofErr w:type="spellStart"/>
            <w:r w:rsidRPr="00F267C8"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  <w:t>εκτοετών</w:t>
            </w:r>
            <w:proofErr w:type="spellEnd"/>
            <w:r w:rsidRPr="00F267C8"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  <w:t xml:space="preserve"> και επί πτυχίο φοιτητών της Γ΄ Παιδιατρικής Κλινικής του ΑΠΘ θα γίνουν ως εξής: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267C8" w:rsidRPr="00630C98" w:rsidRDefault="00F267C8" w:rsidP="00F267C8">
            <w:pPr>
              <w:pStyle w:val="-HTML"/>
              <w:tabs>
                <w:tab w:val="clear" w:pos="916"/>
                <w:tab w:val="clear" w:pos="4580"/>
                <w:tab w:val="left" w:pos="2977"/>
                <w:tab w:val="left" w:pos="42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Τρίτη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12/11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</w:rPr>
              <w:tab/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γραπτά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ώρα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13:00-15:00</w:t>
            </w:r>
            <w:r w:rsidRPr="00630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Πέμπτη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14/11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</w:rPr>
              <w:tab/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ώρα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09:00πμ</w:t>
            </w:r>
          </w:p>
          <w:p w:rsidR="00F267C8" w:rsidRPr="00630C98" w:rsidRDefault="00F267C8" w:rsidP="00F267C8">
            <w:pPr>
              <w:pStyle w:val="-HTML"/>
              <w:tabs>
                <w:tab w:val="clear" w:pos="4580"/>
                <w:tab w:val="left" w:pos="2977"/>
                <w:tab w:val="left" w:pos="42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γραπτές εξετάσεις θα γίνουν στο Αμφιθέατρο 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΄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στη Γραμματεία της Ιατρικής Σχολής του ΑΠΘ.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Η εγγραφή στις εξετάσεις είναι απαραίτητη. 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7C8" w:rsidRPr="00630C98" w:rsidRDefault="00F267C8" w:rsidP="00F267C8">
            <w:pPr>
              <w:pStyle w:val="-HTML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0C98">
              <w:rPr>
                <w:rFonts w:ascii="Times New Roman" w:hAnsi="Times New Roman"/>
                <w:sz w:val="28"/>
                <w:szCs w:val="28"/>
              </w:rPr>
              <w:t>Από την Κλινική</w:t>
            </w:r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br/>
            </w:r>
          </w:p>
        </w:tc>
      </w:tr>
      <w:tr w:rsidR="00F267C8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F267C8" w:rsidRDefault="00F267C8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267C8" w:rsidRDefault="00F267C8" w:rsidP="0082519A">
            <w:pPr>
              <w:spacing w:after="0" w:line="276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BC" w:rsidRDefault="00F17BBC" w:rsidP="00F34E6F">
      <w:pPr>
        <w:spacing w:after="0" w:line="240" w:lineRule="auto"/>
      </w:pPr>
      <w:r>
        <w:separator/>
      </w:r>
    </w:p>
  </w:endnote>
  <w:endnote w:type="continuationSeparator" w:id="0">
    <w:p w:rsidR="00F17BBC" w:rsidRDefault="00F17BBC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BC" w:rsidRDefault="00F17BBC" w:rsidP="00F34E6F">
      <w:pPr>
        <w:spacing w:after="0" w:line="240" w:lineRule="auto"/>
      </w:pPr>
      <w:r>
        <w:separator/>
      </w:r>
    </w:p>
  </w:footnote>
  <w:footnote w:type="continuationSeparator" w:id="0">
    <w:p w:rsidR="00F17BBC" w:rsidRDefault="00F17BBC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5283"/>
    <w:rsid w:val="00061854"/>
    <w:rsid w:val="0006448A"/>
    <w:rsid w:val="00080A8A"/>
    <w:rsid w:val="00153F6A"/>
    <w:rsid w:val="001D4943"/>
    <w:rsid w:val="00242931"/>
    <w:rsid w:val="002A5EDC"/>
    <w:rsid w:val="002C6C2A"/>
    <w:rsid w:val="002C6FC8"/>
    <w:rsid w:val="002E46DB"/>
    <w:rsid w:val="00314558"/>
    <w:rsid w:val="003441CF"/>
    <w:rsid w:val="00354E52"/>
    <w:rsid w:val="003A0334"/>
    <w:rsid w:val="003A5872"/>
    <w:rsid w:val="003E0E06"/>
    <w:rsid w:val="00450F51"/>
    <w:rsid w:val="00455C43"/>
    <w:rsid w:val="004B2EB1"/>
    <w:rsid w:val="004B4DB6"/>
    <w:rsid w:val="004E4071"/>
    <w:rsid w:val="004F7369"/>
    <w:rsid w:val="005037DF"/>
    <w:rsid w:val="005A6E0F"/>
    <w:rsid w:val="005A7D97"/>
    <w:rsid w:val="006050A7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843117"/>
    <w:rsid w:val="0091225D"/>
    <w:rsid w:val="00937932"/>
    <w:rsid w:val="009441C8"/>
    <w:rsid w:val="00952233"/>
    <w:rsid w:val="0095676D"/>
    <w:rsid w:val="009709D0"/>
    <w:rsid w:val="009718E6"/>
    <w:rsid w:val="00980BAE"/>
    <w:rsid w:val="0098593D"/>
    <w:rsid w:val="00991496"/>
    <w:rsid w:val="0099458A"/>
    <w:rsid w:val="00A94E6F"/>
    <w:rsid w:val="00AD3913"/>
    <w:rsid w:val="00AF5D8E"/>
    <w:rsid w:val="00B10F01"/>
    <w:rsid w:val="00B57126"/>
    <w:rsid w:val="00B96E0B"/>
    <w:rsid w:val="00BA1F8C"/>
    <w:rsid w:val="00BB6B0D"/>
    <w:rsid w:val="00BD6299"/>
    <w:rsid w:val="00BF631C"/>
    <w:rsid w:val="00C04D34"/>
    <w:rsid w:val="00C1353E"/>
    <w:rsid w:val="00C37B91"/>
    <w:rsid w:val="00C62FBA"/>
    <w:rsid w:val="00CA0F69"/>
    <w:rsid w:val="00CA42F9"/>
    <w:rsid w:val="00CE2234"/>
    <w:rsid w:val="00CF7932"/>
    <w:rsid w:val="00D54837"/>
    <w:rsid w:val="00D548A1"/>
    <w:rsid w:val="00D760F7"/>
    <w:rsid w:val="00D92924"/>
    <w:rsid w:val="00DA717A"/>
    <w:rsid w:val="00E63AD6"/>
    <w:rsid w:val="00EC4ADF"/>
    <w:rsid w:val="00ED5480"/>
    <w:rsid w:val="00EE46CE"/>
    <w:rsid w:val="00F17BBC"/>
    <w:rsid w:val="00F267C8"/>
    <w:rsid w:val="00F34E6F"/>
    <w:rsid w:val="00F354E3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  <w:style w:type="character" w:styleId="-">
    <w:name w:val="Hyperlink"/>
    <w:basedOn w:val="a0"/>
    <w:uiPriority w:val="99"/>
    <w:unhideWhenUsed/>
    <w:rsid w:val="00C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0067-6408-4C45-B1D9-2BBA9254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2018-11-19T06:27:00Z</cp:lastPrinted>
  <dcterms:created xsi:type="dcterms:W3CDTF">2019-10-22T10:09:00Z</dcterms:created>
  <dcterms:modified xsi:type="dcterms:W3CDTF">2019-10-22T10:09:00Z</dcterms:modified>
</cp:coreProperties>
</file>